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“Anemia of diminished erythropoiesis part-1-”</w:t>
      </w:r>
    </w:p>
    <w:p>
      <w:pPr>
        <w:rPr>
          <w:b/>
          <w:bCs/>
          <w:i/>
          <w:iCs/>
          <w:sz w:val="28"/>
          <w:szCs w:val="28"/>
          <w:u w:val="single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5408" allowOverlap="1" hidden="0">
                <wp:simplePos x="0" y="0"/>
                <wp:positionH relativeFrom="column">
                  <wp:posOffset>-742315</wp:posOffset>
                </wp:positionH>
                <wp:positionV relativeFrom="paragraph">
                  <wp:posOffset>337820</wp:posOffset>
                </wp:positionV>
                <wp:extent cx="832485" cy="1828800"/>
                <wp:effectExtent l="0" t="0" r="19050" b="1905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832485" cy="1828800"/>
                        </a:xfrm>
                        <a:prstGeom prst="rect">
                          <a:avLst xmlns="http://schemas.openxmlformats.org/drawingml/2006/main"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"/>
                          </a:solidFill>
                          <a:miter lim="524288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 w:color="auto"/>
                              </w:rPr>
                            </w:pPr>
                            <w:r>
                              <w:t>Iron deficiency anemia &amp;  chronic disease anemia are discussed in 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0,21600,21600,0,21600xe"/>
              <v:shape id="1025" o:spt="202" style="position:absolute;margin-left:-58.45pt;margin-top:26.6pt;width:65.55pt;height:144pt;mso-wrap-style:infront;mso-position-horizontal-relative:column;mso-position-vertical-relative:line;v-text-anchor:top;z-index:251665408" coordsize="21600, 21600" filled="t" fillcolor="#ffffff" stroked="t" strokecolor="#0" strokeweight="0.75pt">
                <v:textbox inset="2.5mm,1.3mm,2.5mm,1.3mm">
                  <w:txbxContent>
                    <w:p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 w:color="auto"/>
                        </w:rPr>
                      </w:pPr>
                      <w:r>
                        <w:t>Iron deficiency anemia &amp;  chronic disease anemia are discussed in part 1</w:t>
                      </w:r>
                    </w:p>
                  </w:txbxContent>
                </v:textbox>
                <v:stroke/>
              </v:shape>
            </w:pict>
          </mc:Fallback>
        </mc:AlternateContent>
      </w:r>
      <w:r>
        <w:rPr>
          <w:b/>
          <w:bCs/>
          <w:i/>
          <w:iCs/>
          <w:sz w:val="28"/>
          <w:szCs w:val="28"/>
          <w:u w:val="single" w:color="auto"/>
        </w:rPr>
        <w:t>Includes:</w:t>
      </w:r>
    </w:p>
    <w:p>
      <w:pPr>
        <w:pStyle w:val="ListParagraph"/>
        <w:numPr>
          <w:ilvl w:val="0"/>
          <w:numId w:val="1"/>
        </w:numPr>
      </w:pPr>
      <w:r>
        <w:t>Anemia caused by an inadequate dietary supply of nutrients (iron, folic acid ,and vitamin B12)</w:t>
      </w:r>
    </w:p>
    <w:p>
      <w:pPr>
        <w:pStyle w:val="ListParagraph"/>
      </w:pPr>
      <w:r>
        <w:t>Note: inadequate dietary supply means insufficient amount of   nutrients in the human body whether it was caused by low intake of them or other reasons.</w:t>
      </w:r>
    </w:p>
    <w:p>
      <w:pPr>
        <w:pStyle w:val="ListParagraph"/>
        <w:numPr>
          <w:ilvl w:val="0"/>
          <w:numId w:val="1"/>
        </w:numPr>
      </w:pPr>
      <w:r>
        <w:t>Anemias associated with systemic inflammation (chronic disease anemia)</w:t>
      </w:r>
    </w:p>
    <w:p>
      <w:pPr>
        <w:pStyle w:val="ListParagraph"/>
        <w:numPr>
          <w:ilvl w:val="0"/>
          <w:numId w:val="1"/>
        </w:numPr>
      </w:pPr>
      <w:r>
        <w:t>Anemia associated with bone marrow failure (aplastic anemia)</w:t>
      </w:r>
    </w:p>
    <w:p>
      <w:pPr>
        <w:pStyle w:val="ListParagraph"/>
        <w:numPr>
          <w:ilvl w:val="0"/>
          <w:numId w:val="1"/>
        </w:numPr>
      </w:pPr>
      <w:r>
        <w:t>Anemia associated with bone marrow infiltration by tumor or inflammatory cells (myelophthisic anemia)</w:t>
      </w:r>
    </w:p>
    <w:p>
      <w:pPr>
        <w:pStyle w:val="ListParagraph"/>
      </w:pPr>
    </w:p>
    <w:p>
      <w:pPr>
        <w:rPr>
          <w:b/>
          <w:bCs/>
          <w:i/>
          <w:iCs/>
          <w:sz w:val="28"/>
          <w:szCs w:val="28"/>
          <w:u w:val="single" w:color="auto"/>
        </w:rPr>
      </w:pPr>
      <w:r>
        <w:rPr>
          <w:b/>
          <w:bCs/>
          <w:i/>
          <w:iCs/>
          <w:sz w:val="28"/>
          <w:szCs w:val="28"/>
          <w:u w:val="single" w:color="auto"/>
        </w:rPr>
        <w:t>Iron deficiency anemia (the most common type of anemia):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Iron is found in 2 main compartments: </w:t>
      </w:r>
    </w:p>
    <w:p>
      <w:pPr>
        <w:pStyle w:val="ListParagraph"/>
        <w:numPr>
          <w:ilvl w:val="0"/>
          <w:numId w:val="2"/>
        </w:numPr>
      </w:pPr>
      <w:r>
        <w:t>Functional compartment: in hemoglobin (80%)/ myoglobin / iron containing enzymes.</w:t>
      </w:r>
    </w:p>
    <w:p>
      <w:pPr>
        <w:pStyle w:val="ListParagraph"/>
        <w:numPr>
          <w:ilvl w:val="0"/>
          <w:numId w:val="2"/>
        </w:numPr>
        <w:rPr>
          <w:u w:val="single" w:color="auto"/>
        </w:rPr>
      </w:pPr>
      <w:r>
        <w:t xml:space="preserve">Storage compartment: ferritin and hemosiderin. </w:t>
      </w:r>
      <w:r>
        <w:rPr>
          <w:u w:val="single" w:color="auto"/>
        </w:rPr>
        <w:t>Because serum ferritin (ferritin in the blood) is derived from this storage pool it is considered a good indicator of iron stores.</w:t>
      </w:r>
    </w:p>
    <w:p>
      <w:pPr>
        <w:ind w:left="360"/>
      </w:pPr>
      <w:r>
        <w:t xml:space="preserve">The exchange of iron between those 2 compartments is achieved by transferrin which transports iron in the plasma. 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Iron regulation: </w:t>
      </w:r>
    </w:p>
    <w:p>
      <w:pPr>
        <w:pStyle w:val="ListParagraph"/>
        <w:numPr>
          <w:ilvl w:val="0"/>
          <w:numId w:val="3"/>
        </w:numPr>
        <w:rPr>
          <w:u w:val="single" w:color="auto"/>
        </w:rPr>
      </w:pPr>
      <w:r>
        <w:rPr>
          <w:u w:val="single" w:color="auto"/>
        </w:rPr>
        <w:t xml:space="preserve">There is no regulated pathway for iron excretion , so the amount of iron excreted through shedding of mucosal and skin epithelial cells is constant </w:t>
      </w:r>
    </w:p>
    <w:p>
      <w:pPr>
        <w:pStyle w:val="ListParagraph"/>
        <w:numPr>
          <w:ilvl w:val="0"/>
          <w:numId w:val="3"/>
        </w:numPr>
      </w:pPr>
      <w:r>
        <w:rPr>
          <w:u w:val="single" w:color="auto"/>
        </w:rPr>
        <w:t>On the other hand, iron absorption is highly regulated by hipcidin</w:t>
      </w:r>
      <w:r>
        <w:t xml:space="preserve">, how???? </w:t>
      </w:r>
    </w:p>
    <w:p>
      <w:pPr>
        <w:pStyle w:val="ListParagraph"/>
        <w:numPr>
          <w:ilvl w:val="0"/>
          <w:numId w:val="4"/>
        </w:numPr>
      </w:pPr>
      <w:r>
        <w:t>When Storage sites are rich with iron and erthropoietic activity is normal-----</w:t>
      </w:r>
      <w:r>
        <w:rPr>
          <w:u w:val="single" w:color="auto"/>
        </w:rPr>
        <w:sym w:font="Wingdings" w:char="F0E0"/>
      </w:r>
      <w:r>
        <w:t xml:space="preserve"> plasma hipcidin levels are high ----</w:t>
      </w:r>
      <w:r>
        <w:rPr>
          <w:u w:val="single" w:color="auto"/>
        </w:rPr>
        <w:sym w:font="Wingdings" w:char="F0E0"/>
      </w:r>
      <w:r>
        <w:t xml:space="preserve"> which leads to down regulation of ferroportin and trapping of most of the absorbed iron in mucosal ferritin which is lost when duodenal epithelial cells shed into the gut.</w:t>
      </w:r>
    </w:p>
    <w:p>
      <w:pPr>
        <w:pStyle w:val="ListParagraph"/>
        <w:ind w:left="1440"/>
        <w:rPr>
          <w:u w:val="single" w:color="auto"/>
        </w:rPr>
      </w:pPr>
      <w:r>
        <w:rPr>
          <w:u w:val="single" w:color="auto"/>
        </w:rPr>
        <w:t>Ferritin is highly saturated with iron.</w:t>
      </w:r>
    </w:p>
    <w:p>
      <w:pPr>
        <w:pStyle w:val="ListParagraph"/>
        <w:numPr>
          <w:ilvl w:val="0"/>
          <w:numId w:val="4"/>
        </w:numPr>
      </w:pPr>
      <w:r>
        <w:t>When body iron stores decrease or erythropoiesis is stimulated--</w:t>
      </w:r>
      <w:r>
        <w:rPr>
          <w:u w:val="single" w:color="auto"/>
        </w:rPr>
        <w:sym w:font="Wingdings" w:char="F0E0"/>
      </w:r>
      <w:r>
        <w:t xml:space="preserve"> hipcidin levels fall----</w:t>
      </w:r>
      <w:r>
        <w:rPr>
          <w:u w:val="single" w:color="auto"/>
        </w:rPr>
        <w:sym w:font="Wingdings" w:char="F0E0"/>
      </w:r>
      <w:r>
        <w:t>ferroportin activity increases -----</w:t>
      </w:r>
      <w:r>
        <w:rPr>
          <w:u w:val="single" w:color="auto"/>
        </w:rPr>
        <w:sym w:font="Wingdings" w:char="F0E0"/>
      </w:r>
      <w:r>
        <w:t>allows a greater amount of iron to enter the blood stream.</w:t>
      </w:r>
    </w:p>
    <w:p>
      <w:pPr>
        <w:pStyle w:val="ListParagraph"/>
        <w:ind w:left="1440"/>
        <w:rPr>
          <w:u w:val="single" w:color="auto"/>
        </w:rPr>
      </w:pPr>
      <w:r>
        <w:rPr>
          <w:u w:val="single" w:color="auto"/>
        </w:rPr>
        <w:t>Transferrin is upregulated to transfer higher amounts of iron.</w:t>
      </w:r>
    </w:p>
    <w:p>
      <w:pPr>
        <w:pStyle w:val="ListParagraph"/>
        <w:ind w:left="1440"/>
      </w:pPr>
      <w:r>
        <w:rPr>
          <w:u w:val="single" w:color="auto"/>
        </w:rPr>
        <w:t>Serum ferritin declines.</w:t>
      </w:r>
    </w:p>
    <w:p>
      <w:pPr>
        <w:pStyle w:val="ListParagraph"/>
        <w:ind w:left="1440"/>
      </w:pPr>
    </w:p>
    <w:p>
      <w:pPr>
        <w:pStyle w:val="ListParagraph"/>
        <w:ind w:left="1440"/>
      </w:pPr>
    </w:p>
    <w:p/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Iron deficiency causes:</w:t>
      </w:r>
    </w:p>
    <w:p>
      <w:pPr>
        <w:pStyle w:val="ListParagraph"/>
        <w:numPr>
          <w:ilvl w:val="0"/>
          <w:numId w:val="5"/>
        </w:numPr>
        <w:rPr>
          <w:u w:val="single" w:color="auto"/>
        </w:rPr>
      </w:pPr>
      <w:r>
        <w:rPr>
          <w:u w:val="single" w:color="auto"/>
        </w:rPr>
        <w:t>Chronic blood loss</w:t>
      </w:r>
      <w:r>
        <w:t xml:space="preserve">: the most common sources of bleeding are the GI tract (e.g., peptic ulcer, </w:t>
      </w:r>
      <w:r>
        <w:rPr>
          <w:u w:val="single" w:color="auto"/>
        </w:rPr>
        <w:t>colonic cancer</w:t>
      </w:r>
      <w:r>
        <w:t xml:space="preserve">, hemorrhoids) and the </w:t>
      </w:r>
      <w:r>
        <w:rPr>
          <w:u w:val="thick" w:color="FF0000"/>
        </w:rPr>
        <w:t>female</w:t>
      </w:r>
      <w:r>
        <w:rPr>
          <w:u w:val="single" w:color="auto"/>
        </w:rPr>
        <w:t xml:space="preserve"> genital tract (menorrhagia, metrorrhagia, cancers)</w:t>
      </w:r>
    </w:p>
    <w:p>
      <w:pPr>
        <w:pStyle w:val="ListParagraph"/>
        <w:numPr>
          <w:ilvl w:val="0"/>
          <w:numId w:val="5"/>
        </w:numPr>
      </w:pPr>
      <w:r>
        <w:t>Low intake (most common among vegetarians)</w:t>
      </w:r>
    </w:p>
    <w:p>
      <w:pPr>
        <w:pStyle w:val="ListParagraph"/>
        <w:numPr>
          <w:ilvl w:val="0"/>
          <w:numId w:val="5"/>
        </w:numPr>
      </w:pPr>
      <w:r>
        <w:t>Increased demands not met by normal dietary intake in pregnancy and infancy.</w:t>
      </w:r>
    </w:p>
    <w:p>
      <w:pPr>
        <w:pStyle w:val="ListParagraph"/>
        <w:numPr>
          <w:ilvl w:val="0"/>
          <w:numId w:val="5"/>
        </w:numPr>
      </w:pPr>
      <w:r>
        <w:t>Malabsorbtion in celiac disease or after gastroctomy.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Clinical features: </w:t>
      </w:r>
    </w:p>
    <w:p>
      <w:r>
        <w:t>Iron deficiency anemia is:</w:t>
      </w:r>
    </w:p>
    <w:p>
      <w:pPr>
        <w:pStyle w:val="ListParagraph"/>
        <w:numPr>
          <w:ilvl w:val="0"/>
          <w:numId w:val="6"/>
        </w:numPr>
        <w:rPr>
          <w:u w:val="single" w:color="auto"/>
        </w:rPr>
      </w:pPr>
      <w:r>
        <w:t xml:space="preserve">Usually mild and asymptomatic with non specific manifestations ( weakness /pallor/ listlessness/ </w:t>
      </w:r>
      <w:r>
        <w:rPr>
          <w:u w:val="single" w:color="auto"/>
        </w:rPr>
        <w:t>abnormalities of the fingernails such as: thinning, flattening ,and spooning/ pica which is the desire to consume nonfood stuff such as dirt)</w:t>
      </w:r>
    </w:p>
    <w:p>
      <w:pPr>
        <w:pStyle w:val="ListParagraph"/>
        <w:numPr>
          <w:ilvl w:val="0"/>
          <w:numId w:val="6"/>
        </w:numPr>
      </w:pPr>
      <w:r>
        <w:t>Under the microscope: red cells are microcytic and hypochromic.</w:t>
      </w:r>
    </w:p>
    <w:p>
      <w:pPr>
        <w:pStyle w:val="ListParagraph"/>
        <w:numPr>
          <w:ilvl w:val="0"/>
          <w:numId w:val="6"/>
        </w:numPr>
      </w:pPr>
      <w:r>
        <w:t>Diagnosed by:</w:t>
      </w:r>
    </w:p>
    <w:p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4384" allowOverlap="1" hidden="0">
                <wp:simplePos x="0" y="0"/>
                <wp:positionH relativeFrom="column">
                  <wp:posOffset>-269875</wp:posOffset>
                </wp:positionH>
                <wp:positionV relativeFrom="paragraph">
                  <wp:posOffset>176530</wp:posOffset>
                </wp:positionV>
                <wp:extent cx="801370" cy="510540"/>
                <wp:effectExtent l="38100" t="38100" r="38100" b="3810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801370" cy="510540"/>
                        </a:xfrm>
                        <a:prstGeom prst="rect">
                          <a:avLst xmlns="http://schemas.openxmlformats.org/drawingml/2006/main"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524288"/>
                        </a:ln>
                        <a:effectLst>
                          <a:outerShdw blurRad="0" dist="0" dir="0" algn="ctr" rotWithShape="0" kx="0" ky="0" sx="100000" sy="10000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Very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0,21600,21600,0,21600xe"/>
              <v:shape id="1026" o:spt="202" style="position:absolute;margin-left:-21.25pt;margin-top:13.9pt;width:63.1pt;height:40.2pt;mso-wrap-style:infront;mso-position-horizontal-relative:column;mso-position-vertical-relative:line;v-text-anchor:top;z-index:251664384" coordsize="21600, 21600" filled="t" fillcolor="#c0504d" stroked="t" strokecolor="#f2f2f2" strokeweight="3pt">
                <v:textbox inset="2.5mm,1.3mm,2.5mm,1.3mm">
                  <w:txbxContent>
                    <w:p>
                      <w:pPr>
                        <w:jc w:val="center"/>
                      </w:pPr>
                      <w:r>
                        <w:t>Very important</w:t>
                      </w:r>
                    </w:p>
                  </w:txbxContent>
                </v:textbox>
                <v:stroke/>
                <v:shadow on="t" type="perspective" color="#622423" opacity="32768f" origin="0.0,0.0" offset="0.0mm,0.0mm" matrix="65536f,0f,0f,65536f,0.000000,0.0000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2336" allowOverlap="1" hidden="0">
                <wp:simplePos x="0" y="0"/>
                <wp:positionH relativeFrom="column">
                  <wp:posOffset>5257800</wp:posOffset>
                </wp:positionH>
                <wp:positionV relativeFrom="paragraph">
                  <wp:posOffset>176530</wp:posOffset>
                </wp:positionV>
                <wp:extent cx="10795" cy="184785"/>
                <wp:effectExtent l="0" t="0" r="19050" b="1905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0795" cy="184785"/>
                        </a:xfrm>
                        <a:prstGeom prst="straightConnector1">
                          <a:avLst xmlns="http://schemas.openxmlformats.org/drawingml/2006/main"/>
                        </a:prstGeom>
                        <a:ln>
                          <a:solidFill>
                            <a:srgbClr val="0"/>
                          </a:solidFill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27" type="#_x0000_t32" o:spt="32" style="position:absolute;margin-left:414pt;margin-top:13.9pt;width:0.85pt;height:14.55pt;mso-wrap-style:infront;mso-position-horizontal-relative:column;mso-position-vertical-relative:line;z-index:251662336" coordsize="21600, 21600" filled="f" stroked="t" strokecolor="#0" strokeweight="0.75pt">
                <v:stroke joinstyle="round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3777615</wp:posOffset>
                </wp:positionH>
                <wp:positionV relativeFrom="paragraph">
                  <wp:posOffset>165735</wp:posOffset>
                </wp:positionV>
                <wp:extent cx="635" cy="195580"/>
                <wp:effectExtent l="0" t="0" r="19050" b="19050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V="1">
                          <a:off x="0" y="0"/>
                          <a:ext cx="635" cy="195580"/>
                        </a:xfrm>
                        <a:prstGeom prst="straightConnector1">
                          <a:avLst xmlns="http://schemas.openxmlformats.org/drawingml/2006/main"/>
                        </a:prstGeom>
                        <a:ln>
                          <a:solidFill>
                            <a:srgbClr val="0"/>
                          </a:solidFill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28" type="#_x0000_t32" o:spt="32" style="position:absolute;margin-left:297.45pt;margin-top:13.05pt;width:0.05pt;height:15.4pt;mso-wrap-style:infront;mso-position-horizontal-relative:column;mso-position-vertical-relative:line;flip:y;z-index:251660288" coordsize="21600, 21600" filled="f" stroked="t" strokecolor="#0" strokeweight="0.75pt">
                <v:stroke joinstyle="round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8240" allowOverlap="1" hidden="0">
                <wp:simplePos x="0" y="0"/>
                <wp:positionH relativeFrom="column">
                  <wp:posOffset>2935605</wp:posOffset>
                </wp:positionH>
                <wp:positionV relativeFrom="paragraph">
                  <wp:posOffset>13335</wp:posOffset>
                </wp:positionV>
                <wp:extent cx="635" cy="195580"/>
                <wp:effectExtent l="0" t="0" r="19050" b="19050"/>
                <wp:wrapNone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V="1">
                          <a:off x="0" y="0"/>
                          <a:ext cx="635" cy="195580"/>
                        </a:xfrm>
                        <a:prstGeom prst="straightConnector1">
                          <a:avLst xmlns="http://schemas.openxmlformats.org/drawingml/2006/main"/>
                        </a:prstGeom>
                        <a:ln>
                          <a:solidFill>
                            <a:srgbClr val="0"/>
                          </a:solidFill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29" type="#_x0000_t32" o:spt="32" style="position:absolute;margin-left:231.15pt;margin-top:1.05pt;width:0.05pt;height:15.4pt;mso-wrap-style:infront;mso-position-horizontal-relative:column;mso-position-vertical-relative:line;flip:y;z-index:251658240" coordsize="21600, 21600" filled="f" stroked="t" strokecolor="#0" strokeweight="0.75pt">
                <v:stroke joinstyle="round" endarrow="block"/>
              </v:shape>
            </w:pict>
          </mc:Fallback>
        </mc:AlternateContent>
      </w:r>
      <w:r>
        <w:t>Microcytic hypochromic RBCs with     RDW: red cell distribution width</w:t>
      </w:r>
    </w:p>
    <w:p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2134870</wp:posOffset>
                </wp:positionH>
                <wp:positionV relativeFrom="paragraph">
                  <wp:posOffset>12700</wp:posOffset>
                </wp:positionV>
                <wp:extent cx="10795" cy="184785"/>
                <wp:effectExtent l="0" t="0" r="19050" b="19050"/>
                <wp:wrapNone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0795" cy="184785"/>
                        </a:xfrm>
                        <a:prstGeom prst="straightConnector1">
                          <a:avLst xmlns="http://schemas.openxmlformats.org/drawingml/2006/main"/>
                        </a:prstGeom>
                        <a:ln>
                          <a:solidFill>
                            <a:srgbClr val="0"/>
                          </a:solidFill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30" type="#_x0000_t32" o:spt="32" style="position:absolute;margin-left:168.1pt;margin-top:1pt;width:0.85pt;height:14.55pt;mso-wrap-style:infront;mso-position-horizontal-relative:column;mso-position-vertical-relative:line;z-index:251661312" coordsize="21600, 21600" filled="f" stroked="t" strokecolor="#0" strokeweight="0.75pt">
                <v:stroke joinstyle="round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column">
                  <wp:posOffset>1394460</wp:posOffset>
                </wp:positionH>
                <wp:positionV relativeFrom="paragraph">
                  <wp:posOffset>12700</wp:posOffset>
                </wp:positionV>
                <wp:extent cx="10795" cy="184785"/>
                <wp:effectExtent l="0" t="0" r="19050" b="19050"/>
                <wp:wrapNone/>
                <wp:docPr id="1031" name="shape10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0795" cy="184785"/>
                        </a:xfrm>
                        <a:prstGeom prst="straightConnector1">
                          <a:avLst xmlns="http://schemas.openxmlformats.org/drawingml/2006/main"/>
                        </a:prstGeom>
                        <a:ln>
                          <a:solidFill>
                            <a:srgbClr val="0"/>
                          </a:solidFill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31" type="#_x0000_t32" o:spt="32" style="position:absolute;margin-left:109.8pt;margin-top:1pt;width:0.85pt;height:14.55pt;mso-wrap-style:infront;mso-position-horizontal-relative:column;mso-position-vertical-relative:line;z-index:251659264" coordsize="21600, 21600" filled="f" stroked="t" strokecolor="#0" strokeweight="0.75pt">
                <v:stroke joinstyle="round" endarrow="block"/>
              </v:shape>
            </w:pict>
          </mc:Fallback>
        </mc:AlternateContent>
      </w:r>
      <w:r>
        <w:t xml:space="preserve">Ferritin    /serum iron   /total iron binding capacity    / transferrin saturation   </w:t>
      </w:r>
    </w:p>
    <w:p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3360" allowOverlap="1" hidden="0">
                <wp:simplePos x="0" y="0"/>
                <wp:positionH relativeFrom="column">
                  <wp:posOffset>2936240</wp:posOffset>
                </wp:positionH>
                <wp:positionV relativeFrom="paragraph">
                  <wp:posOffset>360680</wp:posOffset>
                </wp:positionV>
                <wp:extent cx="635" cy="195580"/>
                <wp:effectExtent l="0" t="0" r="19050" b="19050"/>
                <wp:wrapNone/>
                <wp:docPr id="1032" name="shape10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V="1">
                          <a:off x="0" y="0"/>
                          <a:ext cx="635" cy="195580"/>
                        </a:xfrm>
                        <a:prstGeom prst="straightConnector1">
                          <a:avLst xmlns="http://schemas.openxmlformats.org/drawingml/2006/main"/>
                        </a:prstGeom>
                        <a:ln>
                          <a:solidFill>
                            <a:srgbClr val="0"/>
                          </a:solidFill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32" type="#_x0000_t32" o:spt="32" style="position:absolute;margin-left:231.2pt;margin-top:28.4pt;width:0.05pt;height:15.4pt;mso-wrap-style:infront;mso-position-horizontal-relative:column;mso-position-vertical-relative:line;flip:y;z-index:251663360" coordsize="21600, 21600" filled="f" stroked="t" strokecolor="#0" strokeweight="0.75pt">
                <v:stroke joinstyle="round" endarrow="block"/>
              </v:shape>
            </w:pict>
          </mc:Fallback>
        </mc:AlternateContent>
      </w:r>
      <w:r>
        <w:t xml:space="preserve">Erythropoietin levels are increased but bone marrow response is weak duo to iron deficiency. </w:t>
      </w:r>
    </w:p>
    <w:p>
      <w:pPr>
        <w:pStyle w:val="ListParagraph"/>
        <w:numPr>
          <w:ilvl w:val="0"/>
          <w:numId w:val="7"/>
        </w:numPr>
      </w:pPr>
      <w:r>
        <w:t xml:space="preserve">For unclear reasons, platelet count </w:t>
      </w:r>
    </w:p>
    <w:p>
      <w:pPr>
        <w:pStyle w:val="ListParagraph"/>
        <w:numPr>
          <w:ilvl w:val="0"/>
          <w:numId w:val="6"/>
        </w:numPr>
      </w:pPr>
      <w:r>
        <w:t>Treated by: iron supplementation.</w:t>
      </w:r>
    </w:p>
    <w:p/>
    <w:p>
      <w:pPr>
        <w:rPr>
          <w:b/>
          <w:bCs/>
          <w:i/>
          <w:iCs/>
          <w:sz w:val="28"/>
          <w:szCs w:val="28"/>
          <w:u w:val="single" w:color="auto"/>
        </w:rPr>
      </w:pPr>
      <w:r>
        <w:rPr>
          <w:b/>
          <w:bCs/>
          <w:i/>
          <w:iCs/>
          <w:sz w:val="28"/>
          <w:szCs w:val="28"/>
          <w:u w:val="single" w:color="auto"/>
        </w:rPr>
        <w:t>Anemia of chronic disease (most common form of anemia in hospitalized patients):</w:t>
      </w:r>
    </w:p>
    <w:p>
      <w:pPr>
        <w:rPr>
          <w:b/>
          <w:bCs/>
        </w:rPr>
      </w:pPr>
      <w:r>
        <w:rPr>
          <w:b/>
          <w:bCs/>
          <w:sz w:val="24"/>
          <w:szCs w:val="24"/>
        </w:rPr>
        <w:t xml:space="preserve">Cause: suppression of erythropoiesis by systemic inflammation. How &amp; why?? </w:t>
      </w:r>
    </w:p>
    <w:p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How:</w:t>
      </w:r>
    </w:p>
    <w:p>
      <w:pPr>
        <w:pStyle w:val="ListParagraph"/>
        <w:numPr>
          <w:ilvl w:val="0"/>
          <w:numId w:val="8"/>
        </w:numPr>
      </w:pPr>
      <w:r>
        <w:t>Inflammation causes the release of cytokines (IL-6) --</w:t>
      </w:r>
      <w:r>
        <w:rPr>
          <w:b/>
          <w:bCs/>
          <w:color w:val="FF0000"/>
        </w:rPr>
        <w:sym w:font="Wingdings" w:char="F0E0"/>
      </w:r>
      <w:r>
        <w:t xml:space="preserve"> upregulation of hipcidin production----</w:t>
      </w:r>
      <w:r>
        <w:rPr>
          <w:b/>
          <w:bCs/>
          <w:color w:val="FF0000"/>
        </w:rPr>
        <w:sym w:font="Wingdings" w:char="F0E0"/>
      </w:r>
      <w:r>
        <w:t xml:space="preserve"> causes down regulation of ferroportin in macrophages---</w:t>
      </w:r>
      <w:r>
        <w:rPr>
          <w:b/>
          <w:bCs/>
          <w:color w:val="FF0000"/>
        </w:rPr>
        <w:sym w:font="Wingdings" w:char="F0E0"/>
      </w:r>
      <w:r>
        <w:t>blocks the transfer of iron to erythroid precursors.</w:t>
      </w:r>
    </w:p>
    <w:p>
      <w:pPr>
        <w:pStyle w:val="ListParagraph"/>
        <w:numPr>
          <w:ilvl w:val="0"/>
          <w:numId w:val="8"/>
        </w:numPr>
      </w:pPr>
      <w:r>
        <w:t>Chronic inflammation decreases erythropoietin synthesis---</w:t>
      </w:r>
      <w:r>
        <w:rPr>
          <w:b/>
          <w:bCs/>
          <w:color w:val="FF0000"/>
        </w:rPr>
        <w:sym w:font="Wingdings" w:char="F0E0"/>
      </w:r>
      <w:r>
        <w:t>lowering RBCs production.</w:t>
      </w:r>
    </w:p>
    <w:p>
      <w:pPr>
        <w:pStyle w:val="ListParagraph"/>
      </w:pPr>
      <w:r>
        <w:t xml:space="preserve"> </w:t>
      </w:r>
    </w:p>
    <w:p>
      <w:pPr>
        <w:rPr>
          <w:b/>
          <w:bCs/>
          <w:color w:val="FF0000"/>
        </w:rPr>
      </w:pPr>
      <w:r>
        <w:t xml:space="preserve">       </w:t>
      </w:r>
      <w:r>
        <w:rPr>
          <w:b/>
          <w:bCs/>
          <w:color w:val="FF0000"/>
        </w:rPr>
        <w:t>Why:</w:t>
      </w:r>
    </w:p>
    <w:p>
      <w:r>
        <w:t xml:space="preserve">        To inhibit the growth of iron dependent microorganisms or to enhance human body immunity. 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Types of chronic inflammations associated with anemia:</w:t>
      </w:r>
    </w:p>
    <w:p>
      <w:pPr>
        <w:pStyle w:val="ListParagraph"/>
        <w:numPr>
          <w:ilvl w:val="0"/>
          <w:numId w:val="9"/>
        </w:numPr>
      </w:pPr>
      <w:r>
        <w:rPr>
          <w:u w:val="single" w:color="auto"/>
        </w:rPr>
        <w:t>Chronic microbial infection</w:t>
      </w:r>
      <w:r>
        <w:t xml:space="preserve"> = osteomyelitis, bacterial endocarditis, and lung abscess.</w:t>
      </w:r>
    </w:p>
    <w:p>
      <w:pPr>
        <w:pStyle w:val="ListParagraph"/>
        <w:numPr>
          <w:ilvl w:val="0"/>
          <w:numId w:val="9"/>
        </w:numPr>
      </w:pPr>
      <w:r>
        <w:rPr>
          <w:u w:val="single" w:color="auto"/>
        </w:rPr>
        <w:t>Chronic immune disorders</w:t>
      </w:r>
      <w:r>
        <w:t>= rheumatoid arthritis &amp; regional enteritis.</w:t>
      </w:r>
    </w:p>
    <w:p>
      <w:pPr>
        <w:pStyle w:val="ListParagraph"/>
        <w:numPr>
          <w:ilvl w:val="0"/>
          <w:numId w:val="9"/>
        </w:numPr>
      </w:pPr>
      <w:r>
        <w:rPr>
          <w:u w:val="single" w:color="auto"/>
        </w:rPr>
        <w:t xml:space="preserve">Neoplasms </w:t>
      </w:r>
      <w:r>
        <w:t>=Hodgkin lymphoma &amp; lung and breast carcinoma.</w:t>
      </w:r>
    </w:p>
    <w:p/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Clinical features:</w:t>
      </w:r>
    </w:p>
    <w:p>
      <w:pPr>
        <w:rPr>
          <w:b/>
          <w:bCs/>
        </w:rPr>
      </w:pPr>
      <w:r>
        <w:rPr>
          <w:b/>
          <w:bCs/>
        </w:rPr>
        <w:t>Symptoms:</w:t>
      </w:r>
    </w:p>
    <w:p>
      <w:r>
        <w:t>Similar to iron deficiency anemia</w:t>
      </w:r>
    </w:p>
    <w:p>
      <w:pPr>
        <w:rPr>
          <w:b/>
          <w:bCs/>
          <w:color w:val="FF0000"/>
          <w:u w:val="single" w:color="auto"/>
        </w:rPr>
      </w:pPr>
      <w:r>
        <w:rPr>
          <w:b/>
          <w:bCs/>
          <w:color w:val="FF0000"/>
          <w:u w:val="single" w:color="auto"/>
        </w:rPr>
        <w:t>Diagnosis:</w:t>
      </w:r>
    </w:p>
    <w:p>
      <w:pPr>
        <w:pStyle w:val="ListParagraph"/>
        <w:numPr>
          <w:ilvl w:val="0"/>
          <w:numId w:val="10"/>
        </w:numPr>
        <w:rPr>
          <w:b/>
          <w:bCs/>
          <w:color w:val="FF0000"/>
          <w:u w:val="single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6432" allowOverlap="1" hidden="0">
                <wp:simplePos x="0" y="0"/>
                <wp:positionH relativeFrom="column">
                  <wp:posOffset>-703580</wp:posOffset>
                </wp:positionH>
                <wp:positionV relativeFrom="paragraph">
                  <wp:posOffset>33020</wp:posOffset>
                </wp:positionV>
                <wp:extent cx="801370" cy="510540"/>
                <wp:effectExtent l="38100" t="38100" r="38100" b="38100"/>
                <wp:wrapNone/>
                <wp:docPr id="1033" name="shape10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801370" cy="510540"/>
                        </a:xfrm>
                        <a:prstGeom prst="rect">
                          <a:avLst xmlns="http://schemas.openxmlformats.org/drawingml/2006/main"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524288"/>
                        </a:ln>
                        <a:effectLst>
                          <a:outerShdw blurRad="0" dist="0" dir="0" algn="ctr" rotWithShape="0" kx="0" ky="0" sx="100000" sy="10000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 w:color="auto"/>
                              </w:rPr>
                            </w:pPr>
                            <w:r>
                              <w:t>Very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0,21600,21600,0,21600xe"/>
              <v:shape id="1033" o:spt="202" style="position:absolute;margin-left:-55.4pt;margin-top:2.6pt;width:63.1pt;height:40.2pt;mso-wrap-style:infront;mso-position-horizontal-relative:column;mso-position-vertical-relative:line;v-text-anchor:top;z-index:251666432" coordsize="21600, 21600" filled="t" fillcolor="#c0504d" stroked="t" strokecolor="#f2f2f2" strokeweight="3pt">
                <v:textbox inset="2.5mm,1.3mm,2.5mm,1.3mm"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FF0000"/>
                          <w:u w:val="single" w:color="auto"/>
                        </w:rPr>
                      </w:pPr>
                      <w:r>
                        <w:t>Very important</w:t>
                      </w:r>
                    </w:p>
                  </w:txbxContent>
                </v:textbox>
                <v:stroke/>
                <v:shadow on="t" type="perspective" color="#622423" opacity="32768f" origin="0.0,0.0" offset="0.0mm,0.0mm" matrix="65536f,0f,0f,65536f,0.000000,0.000000"/>
              </v:shape>
            </w:pict>
          </mc:Fallback>
        </mc:AlternateContent>
      </w:r>
      <w:r>
        <w:rPr>
          <w:b/>
          <w:bCs/>
          <w:color w:val="FF0000"/>
          <w:u w:val="single" w:color="auto"/>
        </w:rPr>
        <w:t>As in iron deficiency anemia: serum iron    / red cells are microcytic and hypochromic</w:t>
      </w:r>
    </w:p>
    <w:p>
      <w:pPr>
        <w:pStyle w:val="ListParagraph"/>
        <w:numPr>
          <w:ilvl w:val="0"/>
          <w:numId w:val="10"/>
        </w:numPr>
        <w:rPr>
          <w:b/>
          <w:bCs/>
          <w:color w:val="FF0000"/>
          <w:u w:val="single" w:color="auto"/>
        </w:rPr>
      </w:pPr>
      <w:r>
        <w:rPr>
          <w:b/>
          <w:bCs/>
          <w:color w:val="FF0000"/>
          <w:u w:val="single" w:color="auto"/>
        </w:rPr>
        <w:t xml:space="preserve">Unlike iron deficiency anemia: storage iron in the bone marrow    / serum ferritin    /total iron binding capacity </w:t>
      </w:r>
    </w:p>
    <w:p>
      <w:pPr>
        <w:rPr>
          <w:b/>
          <w:bCs/>
        </w:rPr>
      </w:pPr>
      <w:r>
        <w:rPr>
          <w:b/>
          <w:bCs/>
        </w:rPr>
        <w:t xml:space="preserve">Treatment: </w:t>
      </w:r>
    </w:p>
    <w:p>
      <w:r>
        <w:t>Can be improved by iron and erythropoietin administration but the only cure is treating the underlying cause.</w:t>
      </w:r>
    </w:p>
    <w:p/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 xml:space="preserve">Done by: </w:t>
      </w:r>
      <w:r>
        <w:rPr>
          <w:b/>
          <w:bCs/>
        </w:rPr>
        <w:t>Fekr</w:t>
      </w:r>
      <w:r>
        <w:rPr>
          <w:b/>
          <w:bCs/>
        </w:rPr>
        <w:t>a..…good luck!!!</w:t>
      </w:r>
    </w:p>
    <w:p/>
    <w:p/>
    <w:p/>
    <w:p>
      <w:pPr>
        <w:pStyle w:val="ListParagraph"/>
        <w:ind w:left="1440"/>
      </w:pPr>
    </w:p>
    <w:p/>
    <w:p>
      <w:pPr>
        <w:ind w:left="360"/>
      </w:pPr>
    </w:p>
    <w:p/>
    <w:sectPr>
      <w:pgSz w:w="12240" w:h="15840"/>
      <w:pgMar w:top="1440" w:right="1800" w:bottom="1440" w:left="1800" w:header="720" w:footer="720" w:gutter="0"/>
      <w:cols w:space="720"/>
      <w:docGrid w:linePitch="36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00"/>
    <w:notTrueType w:val="true"/>
    <w:sig w:usb0="E0002A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6f96"/>
    <w:multiLevelType w:val="hybridMultilevel"/>
    <w:tmpl w:val="4fdacb5c"/>
    <w:lvl w:ilvl="0" w:tplc="409000f">
      <w:start w:val="1"/>
      <w:lvlText w:val="%1."/>
      <w:lvlJc w:val="left"/>
      <w:pPr>
        <w:ind w:left="720" w:hanging="360"/>
      </w:pPr>
    </w:lvl>
    <w:lvl w:ilvl="1" w:tentative="on" w:tplc="4090019">
      <w:start w:val="1"/>
      <w:numFmt w:val="lowerLetter"/>
      <w:lvlText w:val="%2."/>
      <w:lvlJc w:val="left"/>
      <w:pPr>
        <w:ind w:left="1440" w:hanging="360"/>
      </w:pPr>
    </w:lvl>
    <w:lvl w:ilvl="2" w:tentative="on" w:tplc="409001b">
      <w:start w:val="1"/>
      <w:numFmt w:val="lowerRoman"/>
      <w:lvlText w:val="%3."/>
      <w:lvlJc w:val="right"/>
      <w:pPr>
        <w:ind w:left="2160" w:hanging="180"/>
      </w:pPr>
    </w:lvl>
    <w:lvl w:ilvl="3" w:tentative="on" w:tplc="409000f">
      <w:start w:val="1"/>
      <w:lvlText w:val="%4."/>
      <w:lvlJc w:val="left"/>
      <w:pPr>
        <w:ind w:left="2880" w:hanging="360"/>
      </w:pPr>
    </w:lvl>
    <w:lvl w:ilvl="4" w:tentative="on" w:tplc="4090019">
      <w:start w:val="1"/>
      <w:numFmt w:val="lowerLetter"/>
      <w:lvlText w:val="%5."/>
      <w:lvlJc w:val="left"/>
      <w:pPr>
        <w:ind w:left="3600" w:hanging="360"/>
      </w:pPr>
    </w:lvl>
    <w:lvl w:ilvl="5" w:tentative="on" w:tplc="409001b">
      <w:start w:val="1"/>
      <w:numFmt w:val="lowerRoman"/>
      <w:lvlText w:val="%6."/>
      <w:lvlJc w:val="right"/>
      <w:pPr>
        <w:ind w:left="4320" w:hanging="180"/>
      </w:pPr>
    </w:lvl>
    <w:lvl w:ilvl="6" w:tentative="on" w:tplc="409000f">
      <w:start w:val="1"/>
      <w:lvlText w:val="%7."/>
      <w:lvlJc w:val="left"/>
      <w:pPr>
        <w:ind w:left="5040" w:hanging="360"/>
      </w:pPr>
    </w:lvl>
    <w:lvl w:ilvl="7" w:tentative="on" w:tplc="4090019">
      <w:start w:val="1"/>
      <w:numFmt w:val="lowerLetter"/>
      <w:lvlText w:val="%8."/>
      <w:lvlJc w:val="left"/>
      <w:pPr>
        <w:ind w:left="5760" w:hanging="360"/>
      </w:pPr>
    </w:lvl>
    <w:lvl w:ilvl="8" w:tentative="on" w:tplc="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40988"/>
    <w:multiLevelType w:val="hybridMultilevel"/>
    <w:tmpl w:val="7fffffff"/>
    <w:lvl w:ilvl="0" w:tplc="409000f">
      <w:start w:val="1"/>
      <w:lvlText w:val="%1."/>
      <w:lvlJc w:val="left"/>
      <w:pPr>
        <w:ind w:left="720" w:hanging="360"/>
      </w:pPr>
    </w:lvl>
    <w:lvl w:ilvl="1" w:tentative="on" w:tplc="4090019">
      <w:start w:val="1"/>
      <w:numFmt w:val="lowerLetter"/>
      <w:lvlText w:val="%2."/>
      <w:lvlJc w:val="left"/>
      <w:pPr>
        <w:ind w:left="1440" w:hanging="360"/>
      </w:pPr>
    </w:lvl>
    <w:lvl w:ilvl="2" w:tentative="on" w:tplc="409001b">
      <w:start w:val="1"/>
      <w:numFmt w:val="lowerRoman"/>
      <w:lvlText w:val="%3."/>
      <w:lvlJc w:val="right"/>
      <w:pPr>
        <w:ind w:left="2160" w:hanging="180"/>
      </w:pPr>
    </w:lvl>
    <w:lvl w:ilvl="3" w:tentative="on" w:tplc="409000f">
      <w:start w:val="1"/>
      <w:lvlText w:val="%4."/>
      <w:lvlJc w:val="left"/>
      <w:pPr>
        <w:ind w:left="2880" w:hanging="360"/>
      </w:pPr>
    </w:lvl>
    <w:lvl w:ilvl="4" w:tentative="on" w:tplc="4090019">
      <w:start w:val="1"/>
      <w:numFmt w:val="lowerLetter"/>
      <w:lvlText w:val="%5."/>
      <w:lvlJc w:val="left"/>
      <w:pPr>
        <w:ind w:left="3600" w:hanging="360"/>
      </w:pPr>
    </w:lvl>
    <w:lvl w:ilvl="5" w:tentative="on" w:tplc="409001b">
      <w:start w:val="1"/>
      <w:numFmt w:val="lowerRoman"/>
      <w:lvlText w:val="%6."/>
      <w:lvlJc w:val="right"/>
      <w:pPr>
        <w:ind w:left="4320" w:hanging="180"/>
      </w:pPr>
    </w:lvl>
    <w:lvl w:ilvl="6" w:tentative="on" w:tplc="409000f">
      <w:start w:val="1"/>
      <w:lvlText w:val="%7."/>
      <w:lvlJc w:val="left"/>
      <w:pPr>
        <w:ind w:left="5040" w:hanging="360"/>
      </w:pPr>
    </w:lvl>
    <w:lvl w:ilvl="7" w:tentative="on" w:tplc="4090019">
      <w:start w:val="1"/>
      <w:numFmt w:val="lowerLetter"/>
      <w:lvlText w:val="%8."/>
      <w:lvlJc w:val="left"/>
      <w:pPr>
        <w:ind w:left="5760" w:hanging="360"/>
      </w:pPr>
    </w:lvl>
    <w:lvl w:ilvl="8" w:tentative="on" w:tplc="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4f07a6"/>
    <w:multiLevelType w:val="hybridMultilevel"/>
    <w:tmpl w:val="7fffffff"/>
    <w:lvl w:ilvl="0" w:tplc="409000f">
      <w:start w:val="1"/>
      <w:lvlText w:val="%1."/>
      <w:lvlJc w:val="left"/>
      <w:pPr>
        <w:ind w:left="720" w:hanging="360"/>
      </w:pPr>
    </w:lvl>
    <w:lvl w:ilvl="1" w:tentative="on" w:tplc="4090019">
      <w:start w:val="1"/>
      <w:numFmt w:val="lowerLetter"/>
      <w:lvlText w:val="%2."/>
      <w:lvlJc w:val="left"/>
      <w:pPr>
        <w:ind w:left="1440" w:hanging="360"/>
      </w:pPr>
    </w:lvl>
    <w:lvl w:ilvl="2" w:tentative="on" w:tplc="409001b">
      <w:start w:val="1"/>
      <w:numFmt w:val="lowerRoman"/>
      <w:lvlText w:val="%3."/>
      <w:lvlJc w:val="right"/>
      <w:pPr>
        <w:ind w:left="2160" w:hanging="180"/>
      </w:pPr>
    </w:lvl>
    <w:lvl w:ilvl="3" w:tentative="on" w:tplc="409000f">
      <w:start w:val="1"/>
      <w:lvlText w:val="%4."/>
      <w:lvlJc w:val="left"/>
      <w:pPr>
        <w:ind w:left="2880" w:hanging="360"/>
      </w:pPr>
    </w:lvl>
    <w:lvl w:ilvl="4" w:tentative="on" w:tplc="4090019">
      <w:start w:val="1"/>
      <w:numFmt w:val="lowerLetter"/>
      <w:lvlText w:val="%5."/>
      <w:lvlJc w:val="left"/>
      <w:pPr>
        <w:ind w:left="3600" w:hanging="360"/>
      </w:pPr>
    </w:lvl>
    <w:lvl w:ilvl="5" w:tentative="on" w:tplc="409001b">
      <w:start w:val="1"/>
      <w:numFmt w:val="lowerRoman"/>
      <w:lvlText w:val="%6."/>
      <w:lvlJc w:val="right"/>
      <w:pPr>
        <w:ind w:left="4320" w:hanging="180"/>
      </w:pPr>
    </w:lvl>
    <w:lvl w:ilvl="6" w:tentative="on" w:tplc="409000f">
      <w:start w:val="1"/>
      <w:lvlText w:val="%7."/>
      <w:lvlJc w:val="left"/>
      <w:pPr>
        <w:ind w:left="5040" w:hanging="360"/>
      </w:pPr>
    </w:lvl>
    <w:lvl w:ilvl="7" w:tentative="on" w:tplc="4090019">
      <w:start w:val="1"/>
      <w:numFmt w:val="lowerLetter"/>
      <w:lvlText w:val="%8."/>
      <w:lvlJc w:val="left"/>
      <w:pPr>
        <w:ind w:left="5760" w:hanging="360"/>
      </w:pPr>
    </w:lvl>
    <w:lvl w:ilvl="8" w:tentative="on" w:tplc="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859dd"/>
    <w:multiLevelType w:val="hybridMultilevel"/>
    <w:tmpl w:val="7fffffff"/>
    <w:lvl w:ilvl="0" w:tplc="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on" w:tplc="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c81ca4"/>
    <w:multiLevelType w:val="hybridMultilevel"/>
    <w:tmpl w:val="39cc45a"/>
    <w:lvl w:ilvl="0" w:tplc="409000f">
      <w:start w:val="1"/>
      <w:lvlText w:val="%1."/>
      <w:lvlJc w:val="left"/>
      <w:pPr>
        <w:ind w:left="720" w:hanging="360"/>
      </w:pPr>
    </w:lvl>
    <w:lvl w:ilvl="1" w:tentative="on" w:tplc="4090019">
      <w:start w:val="1"/>
      <w:numFmt w:val="lowerLetter"/>
      <w:lvlText w:val="%2."/>
      <w:lvlJc w:val="left"/>
      <w:pPr>
        <w:ind w:left="1440" w:hanging="360"/>
      </w:pPr>
    </w:lvl>
    <w:lvl w:ilvl="2" w:tentative="on" w:tplc="409001b">
      <w:start w:val="1"/>
      <w:numFmt w:val="lowerRoman"/>
      <w:lvlText w:val="%3."/>
      <w:lvlJc w:val="right"/>
      <w:pPr>
        <w:ind w:left="2160" w:hanging="180"/>
      </w:pPr>
    </w:lvl>
    <w:lvl w:ilvl="3" w:tentative="on" w:tplc="409000f">
      <w:start w:val="1"/>
      <w:lvlText w:val="%4."/>
      <w:lvlJc w:val="left"/>
      <w:pPr>
        <w:ind w:left="2880" w:hanging="360"/>
      </w:pPr>
    </w:lvl>
    <w:lvl w:ilvl="4" w:tentative="on" w:tplc="4090019">
      <w:start w:val="1"/>
      <w:numFmt w:val="lowerLetter"/>
      <w:lvlText w:val="%5."/>
      <w:lvlJc w:val="left"/>
      <w:pPr>
        <w:ind w:left="3600" w:hanging="360"/>
      </w:pPr>
    </w:lvl>
    <w:lvl w:ilvl="5" w:tentative="on" w:tplc="409001b">
      <w:start w:val="1"/>
      <w:numFmt w:val="lowerRoman"/>
      <w:lvlText w:val="%6."/>
      <w:lvlJc w:val="right"/>
      <w:pPr>
        <w:ind w:left="4320" w:hanging="180"/>
      </w:pPr>
    </w:lvl>
    <w:lvl w:ilvl="6" w:tentative="on" w:tplc="409000f">
      <w:start w:val="1"/>
      <w:lvlText w:val="%7."/>
      <w:lvlJc w:val="left"/>
      <w:pPr>
        <w:ind w:left="5040" w:hanging="360"/>
      </w:pPr>
    </w:lvl>
    <w:lvl w:ilvl="7" w:tentative="on" w:tplc="4090019">
      <w:start w:val="1"/>
      <w:numFmt w:val="lowerLetter"/>
      <w:lvlText w:val="%8."/>
      <w:lvlJc w:val="left"/>
      <w:pPr>
        <w:ind w:left="5760" w:hanging="360"/>
      </w:pPr>
    </w:lvl>
    <w:lvl w:ilvl="8" w:tentative="on" w:tplc="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750a0"/>
    <w:multiLevelType w:val="hybridMultilevel"/>
    <w:tmpl w:val="7fffffff"/>
    <w:lvl w:ilvl="0" w:tplc="409000f">
      <w:start w:val="1"/>
      <w:lvlText w:val="%1."/>
      <w:lvlJc w:val="left"/>
      <w:pPr>
        <w:ind w:left="720" w:hanging="360"/>
      </w:pPr>
    </w:lvl>
    <w:lvl w:ilvl="1" w:tentative="on" w:tplc="4090019">
      <w:start w:val="1"/>
      <w:numFmt w:val="lowerLetter"/>
      <w:lvlText w:val="%2."/>
      <w:lvlJc w:val="left"/>
      <w:pPr>
        <w:ind w:left="1440" w:hanging="360"/>
      </w:pPr>
    </w:lvl>
    <w:lvl w:ilvl="2" w:tentative="on" w:tplc="409001b">
      <w:start w:val="1"/>
      <w:numFmt w:val="lowerRoman"/>
      <w:lvlText w:val="%3."/>
      <w:lvlJc w:val="right"/>
      <w:pPr>
        <w:ind w:left="2160" w:hanging="180"/>
      </w:pPr>
    </w:lvl>
    <w:lvl w:ilvl="3" w:tentative="on" w:tplc="409000f">
      <w:start w:val="1"/>
      <w:lvlText w:val="%4."/>
      <w:lvlJc w:val="left"/>
      <w:pPr>
        <w:ind w:left="2880" w:hanging="360"/>
      </w:pPr>
    </w:lvl>
    <w:lvl w:ilvl="4" w:tentative="on" w:tplc="4090019">
      <w:start w:val="1"/>
      <w:numFmt w:val="lowerLetter"/>
      <w:lvlText w:val="%5."/>
      <w:lvlJc w:val="left"/>
      <w:pPr>
        <w:ind w:left="3600" w:hanging="360"/>
      </w:pPr>
    </w:lvl>
    <w:lvl w:ilvl="5" w:tentative="on" w:tplc="409001b">
      <w:start w:val="1"/>
      <w:numFmt w:val="lowerRoman"/>
      <w:lvlText w:val="%6."/>
      <w:lvlJc w:val="right"/>
      <w:pPr>
        <w:ind w:left="4320" w:hanging="180"/>
      </w:pPr>
    </w:lvl>
    <w:lvl w:ilvl="6" w:tentative="on" w:tplc="409000f">
      <w:start w:val="1"/>
      <w:lvlText w:val="%7."/>
      <w:lvlJc w:val="left"/>
      <w:pPr>
        <w:ind w:left="5040" w:hanging="360"/>
      </w:pPr>
    </w:lvl>
    <w:lvl w:ilvl="7" w:tentative="on" w:tplc="4090019">
      <w:start w:val="1"/>
      <w:numFmt w:val="lowerLetter"/>
      <w:lvlText w:val="%8."/>
      <w:lvlJc w:val="left"/>
      <w:pPr>
        <w:ind w:left="5760" w:hanging="360"/>
      </w:pPr>
    </w:lvl>
    <w:lvl w:ilvl="8" w:tentative="on" w:tplc="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65a41"/>
    <w:multiLevelType w:val="hybridMultilevel"/>
    <w:tmpl w:val="4d58922e"/>
    <w:lvl w:ilvl="0" w:tplc="4090017">
      <w:start w:val="1"/>
      <w:numFmt w:val="lowerLetter"/>
      <w:lvlText w:val="%1)"/>
      <w:lvlJc w:val="left"/>
      <w:pPr>
        <w:ind w:left="1440" w:hanging="360"/>
      </w:pPr>
    </w:lvl>
    <w:lvl w:ilvl="1" w:tentative="on" w:tplc="4090019">
      <w:start w:val="1"/>
      <w:numFmt w:val="lowerLetter"/>
      <w:lvlText w:val="%2."/>
      <w:lvlJc w:val="left"/>
      <w:pPr>
        <w:ind w:left="2160" w:hanging="360"/>
      </w:pPr>
    </w:lvl>
    <w:lvl w:ilvl="2" w:tentative="on" w:tplc="409001b">
      <w:start w:val="1"/>
      <w:numFmt w:val="lowerRoman"/>
      <w:lvlText w:val="%3."/>
      <w:lvlJc w:val="right"/>
      <w:pPr>
        <w:ind w:left="2880" w:hanging="180"/>
      </w:pPr>
    </w:lvl>
    <w:lvl w:ilvl="3" w:tentative="on" w:tplc="409000f">
      <w:start w:val="1"/>
      <w:lvlText w:val="%4."/>
      <w:lvlJc w:val="left"/>
      <w:pPr>
        <w:ind w:left="3600" w:hanging="360"/>
      </w:pPr>
    </w:lvl>
    <w:lvl w:ilvl="4" w:tentative="on" w:tplc="4090019">
      <w:start w:val="1"/>
      <w:numFmt w:val="lowerLetter"/>
      <w:lvlText w:val="%5."/>
      <w:lvlJc w:val="left"/>
      <w:pPr>
        <w:ind w:left="4320" w:hanging="360"/>
      </w:pPr>
    </w:lvl>
    <w:lvl w:ilvl="5" w:tentative="on" w:tplc="409001b">
      <w:start w:val="1"/>
      <w:numFmt w:val="lowerRoman"/>
      <w:lvlText w:val="%6."/>
      <w:lvlJc w:val="right"/>
      <w:pPr>
        <w:ind w:left="5040" w:hanging="180"/>
      </w:pPr>
    </w:lvl>
    <w:lvl w:ilvl="6" w:tentative="on" w:tplc="409000f">
      <w:start w:val="1"/>
      <w:lvlText w:val="%7."/>
      <w:lvlJc w:val="left"/>
      <w:pPr>
        <w:ind w:left="5760" w:hanging="360"/>
      </w:pPr>
    </w:lvl>
    <w:lvl w:ilvl="7" w:tentative="on" w:tplc="4090019">
      <w:start w:val="1"/>
      <w:numFmt w:val="lowerLetter"/>
      <w:lvlText w:val="%8."/>
      <w:lvlJc w:val="left"/>
      <w:pPr>
        <w:ind w:left="6480" w:hanging="360"/>
      </w:pPr>
    </w:lvl>
    <w:lvl w:ilvl="8" w:tentative="on" w:tplc="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e02ac8"/>
    <w:multiLevelType w:val="hybridMultilevel"/>
    <w:tmpl w:val="7fffffff"/>
    <w:lvl w:ilvl="0" w:tplc="40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090019">
      <w:start w:val="1"/>
      <w:numFmt w:val="lowerLetter"/>
      <w:lvlText w:val="%2."/>
      <w:lvlJc w:val="left"/>
      <w:pPr>
        <w:ind w:left="1440" w:hanging="360"/>
      </w:pPr>
    </w:lvl>
    <w:lvl w:ilvl="2" w:tentative="on" w:tplc="409001b">
      <w:start w:val="1"/>
      <w:numFmt w:val="lowerRoman"/>
      <w:lvlText w:val="%3."/>
      <w:lvlJc w:val="right"/>
      <w:pPr>
        <w:ind w:left="2160" w:hanging="180"/>
      </w:pPr>
    </w:lvl>
    <w:lvl w:ilvl="3" w:tentative="on" w:tplc="409000f">
      <w:start w:val="1"/>
      <w:lvlText w:val="%4."/>
      <w:lvlJc w:val="left"/>
      <w:pPr>
        <w:ind w:left="2880" w:hanging="360"/>
      </w:pPr>
    </w:lvl>
    <w:lvl w:ilvl="4" w:tentative="on" w:tplc="4090019">
      <w:start w:val="1"/>
      <w:numFmt w:val="lowerLetter"/>
      <w:lvlText w:val="%5."/>
      <w:lvlJc w:val="left"/>
      <w:pPr>
        <w:ind w:left="3600" w:hanging="360"/>
      </w:pPr>
    </w:lvl>
    <w:lvl w:ilvl="5" w:tentative="on" w:tplc="409001b">
      <w:start w:val="1"/>
      <w:numFmt w:val="lowerRoman"/>
      <w:lvlText w:val="%6."/>
      <w:lvlJc w:val="right"/>
      <w:pPr>
        <w:ind w:left="4320" w:hanging="180"/>
      </w:pPr>
    </w:lvl>
    <w:lvl w:ilvl="6" w:tentative="on" w:tplc="409000f">
      <w:start w:val="1"/>
      <w:lvlText w:val="%7."/>
      <w:lvlJc w:val="left"/>
      <w:pPr>
        <w:ind w:left="5040" w:hanging="360"/>
      </w:pPr>
    </w:lvl>
    <w:lvl w:ilvl="7" w:tentative="on" w:tplc="4090019">
      <w:start w:val="1"/>
      <w:numFmt w:val="lowerLetter"/>
      <w:lvlText w:val="%8."/>
      <w:lvlJc w:val="left"/>
      <w:pPr>
        <w:ind w:left="5760" w:hanging="360"/>
      </w:pPr>
    </w:lvl>
    <w:lvl w:ilvl="8" w:tentative="on" w:tplc="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07bc4"/>
    <w:multiLevelType w:val="hybridMultilevel"/>
    <w:tmpl w:val="7fffffff"/>
    <w:lvl w:ilvl="0" w:tplc="4090017">
      <w:start w:val="1"/>
      <w:numFmt w:val="lowerLetter"/>
      <w:lvlText w:val="%1)"/>
      <w:lvlJc w:val="left"/>
      <w:pPr>
        <w:ind w:left="720" w:hanging="360"/>
      </w:pPr>
    </w:lvl>
    <w:lvl w:ilvl="1" w:tentative="on" w:tplc="4090019">
      <w:start w:val="1"/>
      <w:numFmt w:val="lowerLetter"/>
      <w:lvlText w:val="%2."/>
      <w:lvlJc w:val="left"/>
      <w:pPr>
        <w:ind w:left="1440" w:hanging="360"/>
      </w:pPr>
    </w:lvl>
    <w:lvl w:ilvl="2" w:tentative="on" w:tplc="409001b">
      <w:start w:val="1"/>
      <w:numFmt w:val="lowerRoman"/>
      <w:lvlText w:val="%3."/>
      <w:lvlJc w:val="right"/>
      <w:pPr>
        <w:ind w:left="2160" w:hanging="180"/>
      </w:pPr>
    </w:lvl>
    <w:lvl w:ilvl="3" w:tentative="on" w:tplc="409000f">
      <w:start w:val="1"/>
      <w:lvlText w:val="%4."/>
      <w:lvlJc w:val="left"/>
      <w:pPr>
        <w:ind w:left="2880" w:hanging="360"/>
      </w:pPr>
    </w:lvl>
    <w:lvl w:ilvl="4" w:tentative="on" w:tplc="4090019">
      <w:start w:val="1"/>
      <w:numFmt w:val="lowerLetter"/>
      <w:lvlText w:val="%5."/>
      <w:lvlJc w:val="left"/>
      <w:pPr>
        <w:ind w:left="3600" w:hanging="360"/>
      </w:pPr>
    </w:lvl>
    <w:lvl w:ilvl="5" w:tentative="on" w:tplc="409001b">
      <w:start w:val="1"/>
      <w:numFmt w:val="lowerRoman"/>
      <w:lvlText w:val="%6."/>
      <w:lvlJc w:val="right"/>
      <w:pPr>
        <w:ind w:left="4320" w:hanging="180"/>
      </w:pPr>
    </w:lvl>
    <w:lvl w:ilvl="6" w:tentative="on" w:tplc="409000f">
      <w:start w:val="1"/>
      <w:lvlText w:val="%7."/>
      <w:lvlJc w:val="left"/>
      <w:pPr>
        <w:ind w:left="5040" w:hanging="360"/>
      </w:pPr>
    </w:lvl>
    <w:lvl w:ilvl="7" w:tentative="on" w:tplc="4090019">
      <w:start w:val="1"/>
      <w:numFmt w:val="lowerLetter"/>
      <w:lvlText w:val="%8."/>
      <w:lvlJc w:val="left"/>
      <w:pPr>
        <w:ind w:left="5760" w:hanging="360"/>
      </w:pPr>
    </w:lvl>
    <w:lvl w:ilvl="8" w:tentative="on" w:tplc="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32a26"/>
    <w:multiLevelType w:val="hybridMultilevel"/>
    <w:tmpl w:val="7fffffff"/>
    <w:lvl w:ilvl="0" w:tplc="409000f">
      <w:start w:val="1"/>
      <w:lvlText w:val="%1."/>
      <w:lvlJc w:val="left"/>
      <w:pPr>
        <w:ind w:left="720" w:hanging="360"/>
      </w:pPr>
    </w:lvl>
    <w:lvl w:ilvl="1" w:tentative="on" w:tplc="4090019">
      <w:start w:val="1"/>
      <w:numFmt w:val="lowerLetter"/>
      <w:lvlText w:val="%2."/>
      <w:lvlJc w:val="left"/>
      <w:pPr>
        <w:ind w:left="1440" w:hanging="360"/>
      </w:pPr>
    </w:lvl>
    <w:lvl w:ilvl="2" w:tentative="on" w:tplc="409001b">
      <w:start w:val="1"/>
      <w:numFmt w:val="lowerRoman"/>
      <w:lvlText w:val="%3."/>
      <w:lvlJc w:val="right"/>
      <w:pPr>
        <w:ind w:left="2160" w:hanging="180"/>
      </w:pPr>
    </w:lvl>
    <w:lvl w:ilvl="3" w:tentative="on" w:tplc="409000f">
      <w:start w:val="1"/>
      <w:lvlText w:val="%4."/>
      <w:lvlJc w:val="left"/>
      <w:pPr>
        <w:ind w:left="2880" w:hanging="360"/>
      </w:pPr>
    </w:lvl>
    <w:lvl w:ilvl="4" w:tentative="on" w:tplc="4090019">
      <w:start w:val="1"/>
      <w:numFmt w:val="lowerLetter"/>
      <w:lvlText w:val="%5."/>
      <w:lvlJc w:val="left"/>
      <w:pPr>
        <w:ind w:left="3600" w:hanging="360"/>
      </w:pPr>
    </w:lvl>
    <w:lvl w:ilvl="5" w:tentative="on" w:tplc="409001b">
      <w:start w:val="1"/>
      <w:numFmt w:val="lowerRoman"/>
      <w:lvlText w:val="%6."/>
      <w:lvlJc w:val="right"/>
      <w:pPr>
        <w:ind w:left="4320" w:hanging="180"/>
      </w:pPr>
    </w:lvl>
    <w:lvl w:ilvl="6" w:tentative="on" w:tplc="409000f">
      <w:start w:val="1"/>
      <w:lvlText w:val="%7."/>
      <w:lvlJc w:val="left"/>
      <w:pPr>
        <w:ind w:left="5040" w:hanging="360"/>
      </w:pPr>
    </w:lvl>
    <w:lvl w:ilvl="7" w:tentative="on" w:tplc="4090019">
      <w:start w:val="1"/>
      <w:numFmt w:val="lowerLetter"/>
      <w:lvlText w:val="%8."/>
      <w:lvlJc w:val="left"/>
      <w:pPr>
        <w:ind w:left="5760" w:hanging="360"/>
      </w:pPr>
    </w:lvl>
    <w:lvl w:ilvl="8" w:tentative="on" w:tplc="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3"/>
  <w:removePersonalInformation/>
  <w:hideGrammaticalErrors/>
  <w:proofState w:spelling="clean" w:grammar="clean"/>
  <w:defaultTabStop w:val="720"/>
  <w:displayHorizontalDrawingGridEvery w:val="1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russole.emad</cp:lastModifiedBy>
  <cp:revision>1</cp:revision>
  <dcterms:created xsi:type="dcterms:W3CDTF">2016-10-02T18:02:00Z</dcterms:created>
  <dcterms:modified xsi:type="dcterms:W3CDTF">2016-10-07T18:19:56Z</dcterms:modified>
</cp:coreProperties>
</file>